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0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27"/>
        <w:gridCol w:w="4927"/>
      </w:tblGrid>
      <w:tr>
        <w:tblPrEx/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50"/>
              <w:jc w:val="both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27" w:type="dxa"/>
            <w:vAlign w:val="top"/>
            <w:textDirection w:val="lrTb"/>
            <w:noWrap w:val="false"/>
          </w:tcPr>
          <w:p>
            <w:pPr>
              <w:pStyle w:val="850"/>
              <w:jc w:val="both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Приложение</w:t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pStyle w:val="850"/>
              <w:jc w:val="both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pStyle w:val="850"/>
              <w:jc w:val="both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УТВЕРЖДЕНО</w:t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pStyle w:val="850"/>
              <w:jc w:val="both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решением Совета</w:t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pStyle w:val="850"/>
              <w:jc w:val="both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муниципального образования</w:t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pStyle w:val="850"/>
              <w:jc w:val="both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Ленинградский муниципальный округ Краснодарского края</w:t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pStyle w:val="850"/>
              <w:jc w:val="both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  <w:t xml:space="preserve">от 25.12.2025 г. № 147</w:t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  <w:p>
            <w:pPr>
              <w:pStyle w:val="850"/>
              <w:jc w:val="both"/>
              <w:rPr>
                <w:rFonts w:ascii="FreeSerif" w:hAnsi="FreeSerif" w:cs="FreeSerif"/>
                <w:bCs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  <w:r>
              <w:rPr>
                <w:rFonts w:ascii="FreeSerif" w:hAnsi="FreeSerif" w:cs="FreeSerif"/>
                <w:bCs/>
                <w:sz w:val="28"/>
                <w:szCs w:val="28"/>
              </w:rPr>
            </w:r>
          </w:p>
        </w:tc>
      </w:tr>
    </w:tbl>
    <w:p>
      <w:pPr>
        <w:pStyle w:val="850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0"/>
        <w:ind w:firstLine="851"/>
        <w:jc w:val="both"/>
        <w:rPr>
          <w:rFonts w:ascii="FreeSerif" w:hAnsi="FreeSerif" w:cs="FreeSerif"/>
          <w:bCs/>
          <w:sz w:val="28"/>
          <w:szCs w:val="28"/>
        </w:rPr>
      </w:pPr>
      <w:r>
        <w:rPr>
          <w:rFonts w:ascii="FreeSerif" w:hAnsi="FreeSerif" w:eastAsia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  <w:r>
        <w:rPr>
          <w:rFonts w:ascii="FreeSerif" w:hAnsi="FreeSerif" w:cs="FreeSerif"/>
          <w:bCs/>
          <w:sz w:val="28"/>
          <w:szCs w:val="28"/>
        </w:rPr>
      </w:r>
    </w:p>
    <w:p>
      <w:pPr>
        <w:pStyle w:val="85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Перечень и стоимость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платных дополнительных образовательных услуг,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оказываемых муниципальным автономным общеобразовательным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  <w:lang w:val="en-US"/>
        </w:rPr>
        <w:t xml:space="preserve">учреждением средней общеобразовательной школой № 1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0"/>
        <w:jc w:val="center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имени С.П. Медведева станицы Новоплатнировской муниципального образования Ленинградский муниципальный округ Краснодарского края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0"/>
        <w:jc w:val="center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tbl>
      <w:tblPr>
        <w:tblW w:w="9638" w:type="dxa"/>
        <w:tblInd w:w="-3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13"/>
        <w:gridCol w:w="3682"/>
        <w:gridCol w:w="1274"/>
        <w:gridCol w:w="1417"/>
        <w:gridCol w:w="1417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68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13" w:type="dxa"/>
            <w:vAlign w:val="top"/>
            <w:vMerge w:val="restart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№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п/п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682" w:type="dxa"/>
            <w:vAlign w:val="top"/>
            <w:vMerge w:val="restart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Наименование услуги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92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Расчет в день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Расчет в неделю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130"/>
        </w:trPr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vMerge w:val="continue"/>
            <w:textDirection w:val="lrTb"/>
            <w:noWrap w:val="false"/>
          </w:tcPr>
          <w:p>
            <w:pPr>
              <w:pStyle w:val="85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2" w:type="dxa"/>
            <w:vAlign w:val="top"/>
            <w:vMerge w:val="continue"/>
            <w:textDirection w:val="lrTb"/>
            <w:noWrap w:val="false"/>
          </w:tcPr>
          <w:p>
            <w:pPr>
              <w:pStyle w:val="850"/>
              <w:jc w:val="center"/>
              <w:rPr>
                <w:sz w:val="22"/>
              </w:rPr>
            </w:pPr>
            <w:r>
              <w:rPr>
                <w:sz w:val="22"/>
              </w:rPr>
            </w:r>
            <w:r>
              <w:rPr>
                <w:sz w:val="22"/>
              </w:rPr>
            </w:r>
            <w:r>
              <w:rPr>
                <w:sz w:val="2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top"/>
            <w:textDirection w:val="lrTb"/>
            <w:noWrap w:val="false"/>
          </w:tcPr>
          <w:p>
            <w:pPr>
              <w:pStyle w:val="850"/>
              <w:ind w:left="-13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Единица измерения, час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Стоимость образ образовательной услуги,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0"/>
              <w:ind w:left="-13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Единица измерения, час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Стоимость образ образовательной услуги,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5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2" w:type="dxa"/>
            <w:vAlign w:val="top"/>
            <w:textDirection w:val="lrTb"/>
            <w:noWrap w:val="false"/>
          </w:tcPr>
          <w:p>
            <w:pPr>
              <w:pStyle w:val="861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Образовательные и развива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ю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щие услуги по изучению учебных дисциплин сверх часов пр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о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грамм, предусмотренных уче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б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ным планом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top"/>
            <w:textDirection w:val="lrTb"/>
            <w:noWrap w:val="false"/>
          </w:tcPr>
          <w:p>
            <w:pPr>
              <w:pStyle w:val="850"/>
              <w:ind w:left="-13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ч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1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96,13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61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 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ч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392,26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2" w:type="dxa"/>
            <w:vAlign w:val="top"/>
            <w:textDirection w:val="lrTb"/>
            <w:noWrap w:val="false"/>
          </w:tcPr>
          <w:p>
            <w:pPr>
              <w:pStyle w:val="850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Группы по адаптации детей к у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с</w:t>
            </w: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ловиям школьной жизни 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top"/>
            <w:textDirection w:val="lrTb"/>
            <w:noWrap w:val="false"/>
          </w:tcPr>
          <w:p>
            <w:pPr>
              <w:pStyle w:val="850"/>
              <w:ind w:left="-13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 ч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328,24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3 ч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328,24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13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3.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82" w:type="dxa"/>
            <w:vAlign w:val="top"/>
            <w:textDirection w:val="lrTb"/>
            <w:noWrap w:val="false"/>
          </w:tcPr>
          <w:p>
            <w:pPr>
              <w:pStyle w:val="850"/>
              <w:jc w:val="both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Группа продленного дня (начальная школа)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4" w:type="dxa"/>
            <w:vAlign w:val="top"/>
            <w:textDirection w:val="lrTb"/>
            <w:noWrap w:val="false"/>
          </w:tcPr>
          <w:p>
            <w:pPr>
              <w:pStyle w:val="850"/>
              <w:ind w:left="-136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</w:rPr>
              <w:t xml:space="preserve">2ч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0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194,34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10ч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1134" w:type="dxa"/>
            <w:vAlign w:val="top"/>
            <w:textDirection w:val="lrTb"/>
            <w:noWrap w:val="false"/>
          </w:tcPr>
          <w:p>
            <w:pPr>
              <w:pStyle w:val="850"/>
              <w:jc w:val="center"/>
              <w:rPr>
                <w:rFonts w:ascii="FreeSerif" w:hAnsi="FreeSerif" w:cs="FreeSerif"/>
                <w:sz w:val="24"/>
                <w:szCs w:val="24"/>
              </w:rPr>
            </w:pP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971,73</w:t>
            </w:r>
            <w:r>
              <w:rPr>
                <w:rFonts w:ascii="FreeSerif" w:hAnsi="FreeSerif" w:eastAsia="FreeSerif" w:cs="FreeSerif"/>
                <w:sz w:val="24"/>
                <w:szCs w:val="24"/>
                <w:lang w:eastAsia="en-US"/>
              </w:rPr>
              <w:t xml:space="preserve"> руб.</w:t>
            </w:r>
            <w:r>
              <w:rPr>
                <w:rFonts w:ascii="FreeSerif" w:hAnsi="FreeSerif" w:cs="FreeSerif"/>
                <w:sz w:val="24"/>
                <w:szCs w:val="24"/>
              </w:rPr>
            </w:r>
            <w:r>
              <w:rPr>
                <w:rFonts w:ascii="FreeSerif" w:hAnsi="FreeSerif" w:cs="FreeSerif"/>
                <w:sz w:val="24"/>
                <w:szCs w:val="24"/>
              </w:rPr>
            </w:r>
          </w:p>
        </w:tc>
      </w:tr>
    </w:tbl>
    <w:p>
      <w:pPr>
        <w:pStyle w:val="850"/>
        <w:ind w:firstLine="851"/>
        <w:jc w:val="both"/>
        <w:rPr>
          <w:rFonts w:ascii="FreeSerif" w:hAnsi="FreeSerif" w:cs="FreeSerif"/>
          <w:sz w:val="24"/>
          <w:szCs w:val="24"/>
        </w:rPr>
      </w:pPr>
      <w:r>
        <w:rPr>
          <w:rFonts w:ascii="FreeSerif" w:hAnsi="FreeSerif" w:eastAsia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  <w:r>
        <w:rPr>
          <w:rFonts w:ascii="FreeSerif" w:hAnsi="FreeSerif" w:cs="FreeSerif"/>
          <w:sz w:val="24"/>
          <w:szCs w:val="24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0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Исполняющий обязанности начальника </w:t>
      </w: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управления образования администрации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</w:t>
      </w:r>
      <w:r>
        <w:rPr>
          <w:rFonts w:ascii="FreeSerif" w:hAnsi="FreeSerif" w:eastAsia="FreeSerif" w:cs="FreeSerif"/>
          <w:sz w:val="28"/>
          <w:szCs w:val="28"/>
        </w:rPr>
        <w:t xml:space="preserve">Л.П. Петроченкова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even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Courier New">
    <w:panose1 w:val="02070409020205020404"/>
  </w:font>
  <w:font w:name="Calibri">
    <w:panose1 w:val="020F0502020204030204"/>
  </w:font>
  <w:font w:name="Verdana">
    <w:panose1 w:val="020B0606030504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7"/>
      <w:rPr>
        <w:rStyle w:val="868"/>
      </w:rPr>
      <w:framePr w:wrap="around" w:vAnchor="text" w:hAnchor="margin" w:xAlign="center" w:y="1"/>
    </w:pPr>
    <w:r>
      <w:rPr>
        <w:rStyle w:val="868"/>
      </w:rPr>
      <w:fldChar w:fldCharType="begin"/>
    </w:r>
    <w:r>
      <w:rPr>
        <w:rStyle w:val="868"/>
      </w:rPr>
      <w:instrText xml:space="preserve">PAGE  </w:instrText>
    </w:r>
    <w:r>
      <w:rPr>
        <w:rStyle w:val="868"/>
      </w:rPr>
      <w:fldChar w:fldCharType="end"/>
    </w:r>
    <w:r>
      <w:rPr>
        <w:rStyle w:val="868"/>
      </w:rPr>
    </w:r>
    <w:r>
      <w:rPr>
        <w:rStyle w:val="868"/>
      </w:rPr>
    </w:r>
  </w:p>
  <w:p>
    <w:pPr>
      <w:pStyle w:val="867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contextualSpacing/>
      <w:ind w:left="720"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704"/>
    <w:link w:val="702"/>
    <w:uiPriority w:val="99"/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rPr>
      <w:sz w:val="24"/>
      <w:szCs w:val="24"/>
      <w:lang w:val="ru-RU" w:eastAsia="ru-RU" w:bidi="ar-SA"/>
    </w:rPr>
  </w:style>
  <w:style w:type="paragraph" w:styleId="851">
    <w:name w:val="Заголовок 1"/>
    <w:basedOn w:val="850"/>
    <w:next w:val="850"/>
    <w:link w:val="850"/>
    <w:qFormat/>
    <w:pPr>
      <w:jc w:val="center"/>
      <w:keepNext/>
      <w:spacing w:line="240" w:lineRule="atLeast"/>
      <w:outlineLvl w:val="0"/>
    </w:pPr>
    <w:rPr>
      <w:b/>
      <w:bCs/>
      <w:sz w:val="26"/>
      <w:szCs w:val="28"/>
    </w:rPr>
  </w:style>
  <w:style w:type="character" w:styleId="852">
    <w:name w:val="Основной шрифт абзаца"/>
    <w:next w:val="852"/>
    <w:link w:val="850"/>
    <w:semiHidden/>
  </w:style>
  <w:style w:type="table" w:styleId="853">
    <w:name w:val="Обычная таблица"/>
    <w:next w:val="853"/>
    <w:link w:val="850"/>
    <w:semiHidden/>
    <w:tblPr/>
  </w:style>
  <w:style w:type="numbering" w:styleId="854">
    <w:name w:val="Нет списка"/>
    <w:next w:val="854"/>
    <w:link w:val="850"/>
    <w:semiHidden/>
  </w:style>
  <w:style w:type="paragraph" w:styleId="855">
    <w:name w:val="Название объекта"/>
    <w:basedOn w:val="850"/>
    <w:next w:val="850"/>
    <w:link w:val="850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856">
    <w:name w:val="Основной текст"/>
    <w:basedOn w:val="850"/>
    <w:next w:val="856"/>
    <w:link w:val="869"/>
    <w:pPr>
      <w:jc w:val="center"/>
    </w:pPr>
  </w:style>
  <w:style w:type="table" w:styleId="857">
    <w:name w:val="Сетка таблицы"/>
    <w:basedOn w:val="853"/>
    <w:next w:val="857"/>
    <w:link w:val="850"/>
    <w:uiPriority w:val="59"/>
    <w:tblPr/>
  </w:style>
  <w:style w:type="paragraph" w:styleId="858">
    <w:name w:val="Знак1"/>
    <w:basedOn w:val="850"/>
    <w:next w:val="858"/>
    <w:link w:val="850"/>
    <w:rPr>
      <w:rFonts w:ascii="Verdana" w:hAnsi="Verdana" w:cs="Verdana"/>
      <w:sz w:val="20"/>
      <w:szCs w:val="20"/>
      <w:lang w:val="en-US" w:eastAsia="en-US"/>
    </w:rPr>
  </w:style>
  <w:style w:type="paragraph" w:styleId="859">
    <w:name w:val="Без интервала"/>
    <w:next w:val="859"/>
    <w:link w:val="850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60">
    <w:name w:val="Обычный (веб)"/>
    <w:basedOn w:val="850"/>
    <w:next w:val="860"/>
    <w:link w:val="850"/>
    <w:pPr>
      <w:spacing w:before="100" w:beforeAutospacing="1" w:after="100" w:afterAutospacing="1"/>
    </w:pPr>
  </w:style>
  <w:style w:type="paragraph" w:styleId="861">
    <w:name w:val="Стандартный HTML"/>
    <w:basedOn w:val="850"/>
    <w:next w:val="861"/>
    <w:link w:val="862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20"/>
      <w:szCs w:val="20"/>
    </w:rPr>
  </w:style>
  <w:style w:type="character" w:styleId="862">
    <w:name w:val="Стандартный HTML Знак"/>
    <w:next w:val="862"/>
    <w:link w:val="861"/>
    <w:rPr>
      <w:rFonts w:ascii="Courier New" w:hAnsi="Courier New" w:cs="Courier New"/>
    </w:rPr>
  </w:style>
  <w:style w:type="paragraph" w:styleId="863">
    <w:name w:val="ConsPlusNormal"/>
    <w:next w:val="863"/>
    <w:link w:val="85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64">
    <w:name w:val="Текст выноски"/>
    <w:basedOn w:val="850"/>
    <w:next w:val="864"/>
    <w:link w:val="865"/>
    <w:rPr>
      <w:rFonts w:ascii="Tahoma" w:hAnsi="Tahoma" w:cs="Tahoma"/>
      <w:sz w:val="16"/>
      <w:szCs w:val="16"/>
    </w:rPr>
  </w:style>
  <w:style w:type="character" w:styleId="865">
    <w:name w:val="Текст выноски Знак"/>
    <w:next w:val="865"/>
    <w:link w:val="864"/>
    <w:rPr>
      <w:rFonts w:ascii="Tahoma" w:hAnsi="Tahoma" w:cs="Tahoma"/>
      <w:sz w:val="16"/>
      <w:szCs w:val="16"/>
    </w:rPr>
  </w:style>
  <w:style w:type="character" w:styleId="866">
    <w:name w:val="Знак Знак1"/>
    <w:next w:val="866"/>
    <w:link w:val="850"/>
    <w:rPr>
      <w:rFonts w:ascii="Courier New" w:hAnsi="Courier New" w:cs="Courier New"/>
      <w:lang w:val="ru-RU" w:eastAsia="ru-RU" w:bidi="ar-SA"/>
    </w:rPr>
  </w:style>
  <w:style w:type="paragraph" w:styleId="867">
    <w:name w:val="Верхний колонтитул"/>
    <w:basedOn w:val="850"/>
    <w:next w:val="867"/>
    <w:link w:val="850"/>
    <w:pPr>
      <w:tabs>
        <w:tab w:val="center" w:pos="4677" w:leader="none"/>
        <w:tab w:val="right" w:pos="9355" w:leader="none"/>
      </w:tabs>
    </w:pPr>
  </w:style>
  <w:style w:type="character" w:styleId="868">
    <w:name w:val="Номер страницы"/>
    <w:basedOn w:val="852"/>
    <w:next w:val="868"/>
    <w:link w:val="850"/>
  </w:style>
  <w:style w:type="character" w:styleId="869">
    <w:name w:val="Основной текст Знак"/>
    <w:next w:val="869"/>
    <w:link w:val="856"/>
    <w:rPr>
      <w:sz w:val="24"/>
      <w:szCs w:val="24"/>
    </w:rPr>
  </w:style>
  <w:style w:type="paragraph" w:styleId="870">
    <w:name w:val="Нижний колонтитул"/>
    <w:basedOn w:val="850"/>
    <w:next w:val="870"/>
    <w:link w:val="850"/>
    <w:pPr>
      <w:tabs>
        <w:tab w:val="center" w:pos="4677" w:leader="none"/>
        <w:tab w:val="right" w:pos="9355" w:leader="none"/>
      </w:tabs>
    </w:pPr>
  </w:style>
  <w:style w:type="character" w:styleId="871" w:default="1">
    <w:name w:val="Default Paragraph Font"/>
    <w:uiPriority w:val="1"/>
    <w:semiHidden/>
    <w:unhideWhenUsed/>
  </w:style>
  <w:style w:type="numbering" w:styleId="872" w:default="1">
    <w:name w:val="No List"/>
    <w:uiPriority w:val="99"/>
    <w:semiHidden/>
    <w:unhideWhenUsed/>
  </w:style>
  <w:style w:type="table" w:styleId="87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УО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</dc:title>
  <dc:creator>Иваненко</dc:creator>
  <cp:revision>15</cp:revision>
  <dcterms:created xsi:type="dcterms:W3CDTF">2025-11-18T08:31:00Z</dcterms:created>
  <dcterms:modified xsi:type="dcterms:W3CDTF">2025-12-30T06:05:54Z</dcterms:modified>
  <cp:version>1048576</cp:version>
</cp:coreProperties>
</file>